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CBRN防护  化学、生物、放射性和核武器威胁的管理</w:t>
      </w:r>
    </w:p>
    <w:p>
      <w:r>
        <w:rPr>
          <w:rFonts w:ascii="宋体" w:hAnsi="宋体" w:eastAsia="宋体"/>
          <w:sz w:val="24"/>
        </w:rPr>
        <w:t>（德）理查德等著；裴承新，夏治强，习海玲译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CBRN防护  化学、生物、放射性和核武器威胁的管理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（德）理查德等著；裴承新，夏治强，习海玲译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本书出售、求购地址：https://www.jiaokey.com/book/detail/13692466.html</w:t>
      </w:r>
    </w:p>
    <w:p>
      <w:r>
        <w:t>更多相关图书推荐：https://www.jiaokey.com</w:t>
      </w:r>
    </w:p>
    <w:p>
      <w:r>
        <w:t>（德）理查德等著；裴承新，夏治强，习海玲译 其他作品：https://www.jiaokey.com/tag/（德）理查德等著；裴承新，夏治强，习海玲译.html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关键词搜索：https://www.jiaokey.com/tag/CBRN防护  化学、生物、放射性和核武器威胁的管理.html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