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经典水墨  赵跃鹏</w:t>
      </w:r>
    </w:p>
    <w:p>
      <w:r>
        <w:rPr>
          <w:rFonts w:ascii="宋体" w:hAnsi="宋体" w:eastAsia="宋体"/>
          <w:sz w:val="24"/>
        </w:rPr>
        <w:t>周跃华主编；赵跃鹏绘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经典水墨  赵跃鹏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周跃华主编；赵跃鹏绘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本书出售、求购地址：https://www.jiaokey.com/book/detail/13691822.html</w:t>
      </w:r>
    </w:p>
    <w:p>
      <w:r>
        <w:t>更多相关图书推荐：https://www.jiaokey.com</w:t>
      </w:r>
    </w:p>
    <w:p>
      <w:r>
        <w:t>周跃华主编；赵跃鹏绘 其他作品：https://www.jiaokey.com/tag/周跃华主编；赵跃鹏绘.html</w:t>
      </w:r>
    </w:p>
    <w:p>
      <w:r>
        <w:t>中国美术出版社 出版图书：https://www.jiaokey.com/tag/中国美术出版社.html</w:t>
      </w:r>
    </w:p>
    <w:p>
      <w:r>
        <w:t>关键词搜索：https://www.jiaokey.com/tag/经典水墨  赵跃鹏.html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