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国民政府最新颁行刑法详解</w:t>
      </w:r>
    </w:p>
    <w:p>
      <w:r>
        <w:rPr>
          <w:rFonts w:ascii="宋体" w:hAnsi="宋体" w:eastAsia="宋体"/>
          <w:sz w:val="24"/>
        </w:rPr>
        <w:t>王守约，王宠惠，王世杰编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国民政府最新颁行刑法详解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王守约，王宠惠，王世杰编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本书出售、求购地址：https://www.jiaokey.com/book/detail/13691484.html</w:t>
      </w:r>
    </w:p>
    <w:p>
      <w:r>
        <w:t>更多相关图书推荐：https://www.jiaokey.com</w:t>
      </w:r>
    </w:p>
    <w:p>
      <w:r>
        <w:t>王守约，王宠惠，王世杰编 其他作品：https://www.jiaokey.com/tag/王守约，王宠惠，王世杰编.html</w:t>
      </w:r>
    </w:p>
    <w:p>
      <w:r>
        <w:t>南京法制局 出版图书：https://www.jiaokey.com/tag/南京法制局.html</w:t>
      </w:r>
    </w:p>
    <w:p>
      <w:r>
        <w:t>关键词搜索：https://www.jiaokey.com/tag/国民政府最新颁行刑法详解.html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