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原画人CG艺术家年鉴  2</w:t>
      </w:r>
    </w:p>
    <w:p>
      <w:r>
        <w:rPr>
          <w:rFonts w:ascii="宋体" w:hAnsi="宋体" w:eastAsia="宋体"/>
          <w:sz w:val="24"/>
        </w:rPr>
        <w:t>杨凯主编；吴伟民，陈婉瑜副主编；邓娟娟，赖海婷参编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原画人CG艺术家年鉴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杨凯主编；吴伟民，陈婉瑜副主编；邓娟娟，赖海婷参编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本书出售、求购地址：https://www.jiaokey.com/book/detail/13691201.html</w:t>
      </w:r>
    </w:p>
    <w:p>
      <w:r>
        <w:t>更多相关图书推荐：https://www.jiaokey.com</w:t>
      </w:r>
    </w:p>
    <w:p>
      <w:r>
        <w:t>杨凯主编；吴伟民，陈婉瑜副主编；邓娟娟，赖海婷参编 其他作品：https://www.jiaokey.com/tag/杨凯主编；吴伟民，陈婉瑜副主编；邓娟娟，赖海婷参编.html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关键词搜索：https://www.jiaokey.com/tag/原画人CG艺术家年鉴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