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国家与社会视角下的秦汉乡里秩序</w:t>
      </w:r>
    </w:p>
    <w:p>
      <w:r>
        <w:rPr>
          <w:rFonts w:ascii="宋体" w:hAnsi="宋体" w:eastAsia="宋体"/>
          <w:sz w:val="24"/>
        </w:rPr>
        <w:t>邹水杰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国家与社会视角下的秦汉乡里秩序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邹水杰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本书出售、求购地址：https://www.jiaokey.com/book/detail/13688849.html</w:t>
      </w:r>
    </w:p>
    <w:p>
      <w:r>
        <w:t>更多相关图书推荐：https://www.jiaokey.com</w:t>
      </w:r>
    </w:p>
    <w:p>
      <w:r>
        <w:t>邹水杰 其他作品：https://www.jiaokey.com/tag/邹水杰.html</w:t>
      </w:r>
    </w:p>
    <w:p>
      <w:r>
        <w:t>关键词搜索：https://www.jiaokey.com/tag/国家与社会视角下的秦汉乡里秩序.html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