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工伤保险与劳动争议</w:t>
      </w:r>
    </w:p>
    <w:p>
      <w:r>
        <w:rPr>
          <w:rFonts w:ascii="宋体" w:hAnsi="宋体" w:eastAsia="宋体"/>
          <w:sz w:val="24"/>
        </w:rPr>
        <w:t>王颖主编；戴志强，苏东撰稿；王汉斌总顾问，沈德咏总主编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工伤保险与劳动争议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王颖主编；戴志强，苏东撰稿；王汉斌总顾问，沈德咏总主编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本书出售、求购地址：https://www.jiaokey.com/book/detail/13688497.html</w:t>
      </w:r>
    </w:p>
    <w:p>
      <w:r>
        <w:t>更多相关图书推荐：https://www.jiaokey.com</w:t>
      </w:r>
    </w:p>
    <w:p>
      <w:r>
        <w:t>王颖主编；戴志强，苏东撰稿；王汉斌总顾问，沈德咏总主编 其他作品：https://www.jiaokey.com/tag/王颖主编；戴志强，苏东撰稿；王汉斌总顾问，沈德咏总主编.html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关键词搜索：https://www.jiaokey.com/tag/工伤保险与劳动争议.html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