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医学分子生物学与生物化学实验技术</w:t>
      </w:r>
    </w:p>
    <w:p>
      <w:r>
        <w:rPr>
          <w:rFonts w:ascii="宋体" w:hAnsi="宋体" w:eastAsia="宋体"/>
          <w:sz w:val="24"/>
        </w:rPr>
        <w:t>徐立红主编；杨洁，燕秋，王艳林副主编；高星杰，王艳林，葛林，徐进，季林丹编者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医学分子生物学与生物化学实验技术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徐立红主编；杨洁，燕秋，王艳林副主编；高星杰，王艳林，葛林，徐进，季林丹编者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本书出售、求购地址：https://www.jiaokey.com/book/detail/13687849.html</w:t>
      </w:r>
    </w:p>
    <w:p>
      <w:r>
        <w:t>更多相关图书推荐：https://www.jiaokey.com</w:t>
      </w:r>
    </w:p>
    <w:p>
      <w:r>
        <w:t>徐立红主编；杨洁，燕秋，王艳林副主编；高星杰，王艳林，葛林，徐进，季林丹编者 其他作品：https://www.jiaokey.com/tag/徐立红主编；杨洁，燕秋，王艳林副主编；高星杰，王艳林，葛林，徐进，季林丹编者.html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关键词搜索：https://www.jiaokey.com/tag/医学分子生物学与生物化学实验技术.html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