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2014年卷  （总第13卷）</w:t>
      </w:r>
    </w:p>
    <w:p>
      <w:r>
        <w:rPr>
          <w:rFonts w:ascii="宋体" w:hAnsi="宋体" w:eastAsia="宋体"/>
          <w:sz w:val="24"/>
        </w:rPr>
        <w:t>章剑生主编；浙江大学公法与比较法研究所主办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2014年卷  （总第13卷）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章剑生主编；浙江大学公法与比较法研究所主办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本书出售、求购地址：https://www.jiaokey.com/book/detail/13687409.html</w:t>
      </w:r>
    </w:p>
    <w:p>
      <w:r>
        <w:t>更多相关图书推荐：https://www.jiaokey.com</w:t>
      </w:r>
    </w:p>
    <w:p>
      <w:r>
        <w:t>章剑生主编；浙江大学公法与比较法研究所主办 其他作品：https://www.jiaokey.com/tag/章剑生主编；浙江大学公法与比较法研究所主办.html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关键词搜索：https://www.jiaokey.com/tag/公法研究  2014年卷  （总第13卷）.html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