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原理·图解·案例·司考</w:t>
      </w:r>
    </w:p>
    <w:p>
      <w:r>
        <w:rPr>
          <w:rFonts w:ascii="宋体" w:hAnsi="宋体" w:eastAsia="宋体"/>
          <w:sz w:val="24"/>
        </w:rPr>
        <w:t>屈广清主编；屈广清，王葆莳，许光耀，刘萍，鲁世平撰稿人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原理·图解·案例·司考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屈广清主编；屈广清，王葆莳，许光耀，刘萍，鲁世平撰稿人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本书出售、求购地址：https://www.jiaokey.com/book/detail/13687345.html</w:t>
      </w:r>
    </w:p>
    <w:p>
      <w:r>
        <w:t>更多相关图书推荐：https://www.jiaokey.com</w:t>
      </w:r>
    </w:p>
    <w:p>
      <w:r>
        <w:t>屈广清主编；屈广清，王葆莳，许光耀，刘萍，鲁世平撰稿人 其他作品：https://www.jiaokey.com/tag/屈广清主编；屈广清，王葆莳，许光耀，刘萍，鲁世平撰稿人.html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关键词搜索：https://www.jiaokey.com/tag/国际私法  原理·图解·案例·司考.html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