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中国民商事案例精选  2012-2014</w:t>
      </w:r>
    </w:p>
    <w:p>
      <w:r>
        <w:rPr>
          <w:rFonts w:ascii="宋体" w:hAnsi="宋体" w:eastAsia="宋体"/>
          <w:sz w:val="24"/>
        </w:rPr>
        <w:t>中华全国律师协会民事专业委员会编；朱洪超主编；贺宝健，刘晰，李亚兰等副主编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中国民商事案例精选  2012-2014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中华全国律师协会民事专业委员会编；朱洪超主编；贺宝健，刘晰，李亚兰等副主编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本书出售、求购地址：https://www.jiaokey.com/book/detail/13686177.html</w:t>
      </w:r>
    </w:p>
    <w:p>
      <w:r>
        <w:t>更多相关图书推荐：https://www.jiaokey.com</w:t>
      </w:r>
    </w:p>
    <w:p>
      <w:r>
        <w:t>中华全国律师协会民事专业委员会编；朱洪超主编；贺宝健，刘晰，李亚兰等副主编 其他作品：https://www.jiaokey.com/tag/中华全国律师协会民事专业委员会编；朱洪超主编；贺宝健，刘晰，李亚兰等副主编.html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关键词搜索：https://www.jiaokey.com/tag/中国民商事案例精选  2012-2014.html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