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民事诉讼与审判法律规范全集  下</w:t>
      </w:r>
    </w:p>
    <w:p>
      <w:r>
        <w:rPr>
          <w:rFonts w:ascii="宋体" w:hAnsi="宋体" w:eastAsia="宋体"/>
          <w:sz w:val="24"/>
        </w:rPr>
        <w:t>马原，唐德华主编；梁书文，黄赤东，回沪明副主编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民事诉讼与审判法律规范全集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马原，唐德华主编；梁书文，黄赤东，回沪明副主编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最高人民法院人民法院出版社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本书出售、求购地址：https://www.jiaokey.com/book/detail/13685988.html</w:t>
      </w:r>
    </w:p>
    <w:p>
      <w:r>
        <w:t>更多相关图书推荐：https://www.jiaokey.com</w:t>
      </w:r>
    </w:p>
    <w:p>
      <w:r>
        <w:t>马原，唐德华主编；梁书文，黄赤东，回沪明副主编 其他作品：https://www.jiaokey.com/tag/马原，唐德华主编；梁书文，黄赤东，回沪明副主编.html</w:t>
      </w:r>
    </w:p>
    <w:p>
      <w:r>
        <w:t>最高人民法院人民法院出版社 出版图书：https://www.jiaokey.com/tag/最高人民法院人民法院出版社.html</w:t>
      </w:r>
    </w:p>
    <w:p>
      <w:r>
        <w:t>关键词搜索：https://www.jiaokey.com/tag/民事诉讼与审判法律规范全集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