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新编特殊药品剂量手册</w:t>
      </w:r>
    </w:p>
    <w:p>
      <w:r>
        <w:rPr>
          <w:rFonts w:ascii="宋体" w:hAnsi="宋体" w:eastAsia="宋体"/>
          <w:sz w:val="24"/>
        </w:rPr>
        <w:t>张友干，史红卫，霍自香主编；王好艺，黄锐，齐密霞等副主编；于健，王好艺，王毅斌等编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新编特殊药品剂量手册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张友干，史红卫，霍自香主编；王好艺，黄锐，齐密霞等副主编；于健，王好艺，王毅斌等编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本书出售、求购地址：https://www.jiaokey.com/book/detail/13685127.html</w:t>
      </w:r>
    </w:p>
    <w:p>
      <w:r>
        <w:t>更多相关图书推荐：https://www.jiaokey.com</w:t>
      </w:r>
    </w:p>
    <w:p>
      <w:r>
        <w:t>张友干，史红卫，霍自香主编；王好艺，黄锐，齐密霞等副主编；于健，王好艺，王毅斌等编 其他作品：https://www.jiaokey.com/tag/张友干，史红卫，霍自香主编；王好艺，黄锐，齐密霞等副主编；于健，王好艺，王毅斌等编.html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关键词搜索：https://www.jiaokey.com/tag/新编特殊药品剂量手册.html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