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建筑再生  资产剩余时代的建筑学入门</w:t>
      </w:r>
    </w:p>
    <w:p>
      <w:r>
        <w:rPr>
          <w:rFonts w:ascii="宋体" w:hAnsi="宋体" w:eastAsia="宋体"/>
          <w:sz w:val="24"/>
        </w:rPr>
        <w:t>（日）松村秀一主编；佐藤考一，新堀学，清家刚，角田诚，脇山善夫编；范悦，周博，吴茵，苏媛译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建筑再生  资产剩余时代的建筑学入门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（日）松村秀一主编；佐藤考一，新堀学，清家刚，角田诚，脇山善夫编；范悦，周博，吴茵，苏媛译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本书出售、求购地址：https://www.jiaokey.com/book/detail/13682236.html</w:t>
      </w:r>
    </w:p>
    <w:p>
      <w:r>
        <w:t>更多相关图书推荐：https://www.jiaokey.com</w:t>
      </w:r>
    </w:p>
    <w:p>
      <w:r>
        <w:t>（日）松村秀一主编；佐藤考一，新堀学，清家刚，角田诚，脇山善夫编；范悦，周博，吴茵，苏媛译 其他作品：https://www.jiaokey.com/tag/（日）松村秀一主编；佐藤考一，新堀学，清家刚，角田诚，脇山善夫编；范悦，周博，吴茵，苏媛译.html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关键词搜索：https://www.jiaokey.com/tag/建筑再生  资产剩余时代的建筑学入门.html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