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符为民急难病学术思想与临证经验</w:t>
      </w:r>
    </w:p>
    <w:p>
      <w:r>
        <w:rPr>
          <w:rFonts w:ascii="宋体" w:hAnsi="宋体" w:eastAsia="宋体"/>
          <w:sz w:val="24"/>
        </w:rPr>
        <w:t>符为民，李运伦，王永生主编；沈宇清，常诚，陈炯华，康冰，王世钦副主编；熊宁宁主审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符为民急难病学术思想与临证经验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符为民，李运伦，王永生主编；沈宇清，常诚，陈炯华，康冰，王世钦副主编；熊宁宁主审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本书出售、求购地址：https://www.jiaokey.com/book/detail/13682222.html</w:t>
      </w:r>
    </w:p>
    <w:p>
      <w:r>
        <w:t>更多相关图书推荐：https://www.jiaokey.com</w:t>
      </w:r>
    </w:p>
    <w:p>
      <w:r>
        <w:t>符为民，李运伦，王永生主编；沈宇清，常诚，陈炯华，康冰，王世钦副主编；熊宁宁主审 其他作品：https://www.jiaokey.com/tag/符为民，李运伦，王永生主编；沈宇清，常诚，陈炯华，康冰，王世钦副主编；熊宁宁主审.html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关键词搜索：https://www.jiaokey.com/tag/符为民急难病学术思想与临证经验.html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