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  国家繁荣为什么离不开制造业</w:t>
      </w:r>
    </w:p>
    <w:p>
      <w:r>
        <w:rPr>
          <w:rFonts w:ascii="宋体" w:hAnsi="宋体" w:eastAsia="宋体"/>
          <w:sz w:val="24"/>
        </w:rPr>
        <w:t>（美）瓦科拉夫·斯米尔著；李凤海，刘寅龙译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  国家繁荣为什么离不开制造业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（美）瓦科拉夫·斯米尔著；李凤海，刘寅龙译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本书出售、求购地址：https://www.jiaokey.com/book/detail/13682133.html</w:t>
      </w:r>
    </w:p>
    <w:p>
      <w:r>
        <w:t>更多相关图书推荐：https://www.jiaokey.com</w:t>
      </w:r>
    </w:p>
    <w:p>
      <w:r>
        <w:t>（美）瓦科拉夫·斯米尔著；李凤海，刘寅龙译 其他作品：https://www.jiaokey.com/tag/（美）瓦科拉夫·斯米尔著；李凤海，刘寅龙译.html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关键词搜索：https://www.jiaokey.com/tag/美国制造  国家繁荣为什么离不开制造业.html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