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  第2版</w:t>
      </w:r>
    </w:p>
    <w:p>
      <w:r>
        <w:rPr>
          <w:rFonts w:ascii="宋体" w:hAnsi="宋体" w:eastAsia="宋体"/>
          <w:sz w:val="24"/>
        </w:rPr>
        <w:t>张湘兰主编；李凤宁副主编；张湘兰，张辉，李凤宁，朱强，张丽娜，赵强，向明华撰稿人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张湘兰主编；李凤宁副主编；张湘兰，张辉，李凤宁，朱强，张丽娜，赵强，向明华撰稿人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本书出售、求购地址：https://www.jiaokey.com/book/detail/13681366.html</w:t>
      </w:r>
    </w:p>
    <w:p>
      <w:r>
        <w:t>更多相关图书推荐：https://www.jiaokey.com</w:t>
      </w:r>
    </w:p>
    <w:p>
      <w:r>
        <w:t>张湘兰主编；李凤宁副主编；张湘兰，张辉，李凤宁，朱强，张丽娜，赵强，向明华撰稿人 其他作品：https://www.jiaokey.com/tag/张湘兰主编；李凤宁副主编；张湘兰，张辉，李凤宁，朱强，张丽娜，赵强，向明华撰稿人.html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关键词搜索：https://www.jiaokey.com/tag/海商法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