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电子商务纠纷案例与实务</w:t>
      </w:r>
    </w:p>
    <w:p>
      <w:r>
        <w:rPr>
          <w:rFonts w:ascii="宋体" w:hAnsi="宋体" w:eastAsia="宋体"/>
          <w:sz w:val="24"/>
        </w:rPr>
        <w:t>李俊平，曾芳芳编著；熊建新，彭丁带丛书总主编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李俊平，曾芳芳编著；熊建新，彭丁带丛书总主编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本书出售、求购地址：https://www.jiaokey.com/book/detail/13673761.html</w:t>
      </w:r>
    </w:p>
    <w:p>
      <w:r>
        <w:t>更多相关图书推荐：https://www.jiaokey.com</w:t>
      </w:r>
    </w:p>
    <w:p>
      <w:r>
        <w:t>李俊平，曾芳芳编著；熊建新，彭丁带丛书总主编 其他作品：https://www.jiaokey.com/tag/李俊平，曾芳芳编著；熊建新，彭丁带丛书总主编.html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