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GNSS定位原理</w:t>
      </w:r>
    </w:p>
    <w:p>
      <w:r>
        <w:rPr>
          <w:rFonts w:ascii="宋体" w:hAnsi="宋体" w:eastAsia="宋体"/>
          <w:sz w:val="24"/>
        </w:rPr>
        <w:t>李克昭，杨力，柴霖，丁安民，郭增长编著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GNSS定位原理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李克昭，杨力，柴霖，丁安民，郭增长编著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本书出售、求购地址：https://www.jiaokey.com/book/detail/13673758.html</w:t>
      </w:r>
    </w:p>
    <w:p>
      <w:r>
        <w:t>更多相关图书推荐：https://www.jiaokey.com</w:t>
      </w:r>
    </w:p>
    <w:p>
      <w:r>
        <w:t>李克昭，杨力，柴霖，丁安民，郭增长编著 其他作品：https://www.jiaokey.com/tag/李克昭，杨力，柴霖，丁安民，郭增长编著.html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关键词搜索：https://www.jiaokey.com/tag/GNSS定位原理.html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