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商事法律文件解读  总第104辑</w:t>
      </w:r>
    </w:p>
    <w:p>
      <w:r>
        <w:rPr>
          <w:rFonts w:ascii="宋体" w:hAnsi="宋体" w:eastAsia="宋体"/>
          <w:sz w:val="24"/>
        </w:rPr>
        <w:t>奚晓明主编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商事法律文件解读  总第104辑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本书出售、求购地址：https://www.jiaokey.com/book/detail/13672445.html</w:t>
      </w:r>
    </w:p>
    <w:p>
      <w:r>
        <w:t>更多相关图书推荐：https://www.jiaokey.com</w:t>
      </w:r>
    </w:p>
    <w:p>
      <w:r>
        <w:t>奚晓明主编 其他作品：https://www.jiaokey.com/tag/奚晓明主编.html</w:t>
      </w:r>
    </w:p>
    <w:p>
      <w:r>
        <w:t>关键词搜索：https://www.jiaokey.com/tag/商事法律文件解读  总第104辑.html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