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业务驱动型PMO建设</w:t>
      </w:r>
    </w:p>
    <w:p>
      <w:r>
        <w:rPr>
          <w:rFonts w:ascii="宋体" w:hAnsi="宋体" w:eastAsia="宋体"/>
          <w:sz w:val="24"/>
        </w:rPr>
        <w:t>（美）马克·普锐斯·佩里著；单屹译；问静园，张引译文审稿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业务驱动型PMO建设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（美）马克·普锐斯·佩里著；单屹译；问静园，张引译文审稿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本书出售、求购地址：https://www.jiaokey.com/book/detail/13672062.html</w:t>
      </w:r>
    </w:p>
    <w:p>
      <w:r>
        <w:t>更多相关图书推荐：https://www.jiaokey.com</w:t>
      </w:r>
    </w:p>
    <w:p>
      <w:r>
        <w:t>（美）马克·普锐斯·佩里著；单屹译；问静园，张引译文审稿 其他作品：https://www.jiaokey.com/tag/（美）马克·普锐斯·佩里著；单屹译；问静园，张引译文审稿.html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关键词搜索：https://www.jiaokey.com/tag/业务驱动型PMO建设.html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