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SolidWorks机械设计案例教程</w:t>
      </w:r>
    </w:p>
    <w:p>
      <w:r>
        <w:rPr>
          <w:rFonts w:ascii="宋体" w:hAnsi="宋体" w:eastAsia="宋体"/>
          <w:sz w:val="24"/>
        </w:rPr>
        <w:t>全国计算机辅助技术认证管理办公室组编；魏峥主编；王促勋，张毅副主编；李腾训，李玉超，赵波，牟世茂，吕正浩参编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全国计算机辅助技术认证管理办公室组编；魏峥主编；王促勋，张毅副主编；李腾训，李玉超，赵波，牟世茂，吕正浩参编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本书出售、求购地址：https://www.jiaokey.com/book/detail/13671969.html</w:t>
      </w:r>
    </w:p>
    <w:p>
      <w:r>
        <w:t>更多相关图书推荐：https://www.jiaokey.com</w:t>
      </w:r>
    </w:p>
    <w:p>
      <w:r>
        <w:t>全国计算机辅助技术认证管理办公室组编；魏峥主编；王促勋，张毅副主编；李腾训，李玉超，赵波，牟世茂，吕正浩参编 其他作品：https://www.jiaokey.com/tag/全国计算机辅助技术认证管理办公室组编；魏峥主编；王促勋，张毅副主编；李腾训，李玉超，赵波，牟世茂，吕正浩参编.html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