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指称与意向性</w:t>
      </w:r>
    </w:p>
    <w:p>
      <w:r>
        <w:rPr>
          <w:rFonts w:ascii="宋体" w:hAnsi="宋体" w:eastAsia="宋体"/>
          <w:sz w:val="24"/>
        </w:rPr>
        <w:t>（挪威）奥拉夫·阿斯海姆著；张建军，尤林译；张一兵丛书主编；周宪，周晓虹副主编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指称与意向性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（挪威）奥拉夫·阿斯海姆著；张建军，尤林译；张一兵丛书主编；周宪，周晓虹副主编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本书出售、求购地址：https://www.jiaokey.com/book/detail/13671640.html</w:t>
      </w:r>
    </w:p>
    <w:p>
      <w:r>
        <w:t>更多相关图书推荐：https://www.jiaokey.com</w:t>
      </w:r>
    </w:p>
    <w:p>
      <w:r>
        <w:t>（挪威）奥拉夫·阿斯海姆著；张建军，尤林译；张一兵丛书主编；周宪，周晓虹副主编 其他作品：https://www.jiaokey.com/tag/（挪威）奥拉夫·阿斯海姆著；张建军，尤林译；张一兵丛书主编；周宪，周晓虹副主编.html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关键词搜索：https://www.jiaokey.com/tag/指称与意向性.html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