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农产品品牌成因成长机理研究</w:t>
      </w:r>
    </w:p>
    <w:p>
      <w:r>
        <w:rPr>
          <w:rFonts w:ascii="宋体" w:hAnsi="宋体" w:eastAsia="宋体"/>
          <w:sz w:val="24"/>
        </w:rPr>
        <w:t>王成敏，和文征，张启，杨双牛著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农产品品牌成因成长机理研究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王成敏，和文征，张启，杨双牛著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本书出售、求购地址：https://www.jiaokey.com/book/detail/13670135.html</w:t>
      </w:r>
    </w:p>
    <w:p>
      <w:r>
        <w:t>更多相关图书推荐：https://www.jiaokey.com</w:t>
      </w:r>
    </w:p>
    <w:p>
      <w:r>
        <w:t>王成敏，和文征，张启，杨双牛著 其他作品：https://www.jiaokey.com/tag/王成敏，和文征，张启，杨双牛著.html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关键词搜索：https://www.jiaokey.com/tag/农产品品牌成因成长机理研究.html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