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  理论探索与实践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  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本书出售、求购地址：https://www.jiaokey.com/book/detail/13668134.html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关键词搜索：https://www.jiaokey.com/tag/创新驱动发展  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