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  下册  环境  农村、工业和城市</w:t>
      </w:r>
    </w:p>
    <w:p>
      <w:r>
        <w:rPr>
          <w:rFonts w:ascii="宋体" w:hAnsi="宋体" w:eastAsia="宋体"/>
          <w:sz w:val="24"/>
        </w:rPr>
        <w:t>（法）菲利普·潘什梅尔著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  下册  环境  农村、工业和城市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（法）菲利普·潘什梅尔著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本书出售、求购地址：https://www.jiaokey.com/book/detail/13666753.html</w:t>
      </w:r>
    </w:p>
    <w:p>
      <w:r>
        <w:t>更多相关图书推荐：https://www.jiaokey.com</w:t>
      </w:r>
    </w:p>
    <w:p>
      <w:r>
        <w:t>（法）菲利普·潘什梅尔著 其他作品：https://www.jiaokey.com/tag/（法）菲利普·潘什梅尔著.html</w:t>
      </w:r>
    </w:p>
    <w:p>
      <w:r>
        <w:t>关键词搜索：https://www.jiaokey.com/tag/法国  下册  环境  农村、工业和城市.html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