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黄庭坚《松风阁》《苏轼寒食诗跋》技法精讲</w:t>
      </w:r>
    </w:p>
    <w:p>
      <w:r>
        <w:rPr>
          <w:rFonts w:ascii="宋体" w:hAnsi="宋体" w:eastAsia="宋体"/>
          <w:sz w:val="24"/>
        </w:rPr>
        <w:t>施建锋编写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黄庭坚《松风阁》《苏轼寒食诗跋》技法精讲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本书出售、求购地址：https://www.jiaokey.com/book/detail/13665861.html</w:t>
      </w:r>
    </w:p>
    <w:p>
      <w:r>
        <w:t>更多相关图书推荐：https://www.jiaokey.com</w:t>
      </w:r>
    </w:p>
    <w:p>
      <w:r>
        <w:t>施建锋编写 其他作品：https://www.jiaokey.com/tag/施建锋编写.html</w:t>
      </w:r>
    </w:p>
    <w:p>
      <w:r>
        <w:t>故宫出版社 出版图书：https://www.jiaokey.com/tag/故宫出版社.html</w:t>
      </w:r>
    </w:p>
    <w:p>
      <w:r>
        <w:t>关键词搜索：https://www.jiaokey.com/tag/黄庭坚《松风阁》《苏轼寒食诗跋》技法精讲.html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