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  第4版</w:t>
      </w:r>
    </w:p>
    <w:p>
      <w:r>
        <w:rPr>
          <w:rFonts w:ascii="宋体" w:hAnsi="宋体" w:eastAsia="宋体"/>
          <w:sz w:val="24"/>
        </w:rPr>
        <w:t>（美）尤恩（Eun，C.S.），（美）雷斯尼克（Resnick，B.G.）著；赵银德，张华译注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（美）尤恩（Eun，C.S.），（美）雷斯尼克（Resnick，B.G.）著；赵银德，张华译注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本书出售、求购地址：https://www.jiaokey.com/book/detail/13662602.html</w:t>
      </w:r>
    </w:p>
    <w:p>
      <w:r>
        <w:t>更多相关图书推荐：https://www.jiaokey.com</w:t>
      </w:r>
    </w:p>
    <w:p>
      <w:r>
        <w:t>（美）尤恩（Eun，C.S.），（美）雷斯尼克（Resnick，B.G.）著；赵银德，张华译注 其他作品：https://www.jiaokey.com/tag/（美）尤恩（Eun，C.S.），（美）雷斯尼克（Resnick，B.G.）著；赵银德，张华译注.html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关键词搜索：https://www.jiaokey.com/tag/国际财务管理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