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隐身战舰技术</w:t>
      </w:r>
    </w:p>
    <w:p>
      <w:r>
        <w:rPr>
          <w:rFonts w:ascii="宋体" w:hAnsi="宋体" w:eastAsia="宋体"/>
          <w:sz w:val="24"/>
        </w:rPr>
        <w:t>（英）拉弗斯（CHRISTOPHERLAVERS）著；卢晓平，赵鹏伟。谢扬译；陈霞主审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隐身战舰技术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（英）拉弗斯（CHRISTOPHERLAVERS）著；卢晓平，赵鹏伟。谢扬译；陈霞主审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本书出售、求购地址：https://www.jiaokey.com/book/detail/13662549.html</w:t>
      </w:r>
    </w:p>
    <w:p>
      <w:r>
        <w:t>更多相关图书推荐：https://www.jiaokey.com</w:t>
      </w:r>
    </w:p>
    <w:p>
      <w:r>
        <w:t>（英）拉弗斯（CHRISTOPHERLAVERS）著；卢晓平，赵鹏伟。谢扬译；陈霞主审 其他作品：https://www.jiaokey.com/tag/（英）拉弗斯（CHRISTOPHERLAVERS）著；卢晓平，赵鹏伟。谢扬译；陈霞主审.html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关键词搜索：https://www.jiaokey.com/tag/隐身战舰技术.html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