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殖民地民族问题的基础知识</w:t>
      </w:r>
    </w:p>
    <w:p>
      <w:r>
        <w:rPr>
          <w:rFonts w:ascii="宋体" w:hAnsi="宋体" w:eastAsia="宋体"/>
          <w:sz w:val="24"/>
        </w:rPr>
        <w:t>（日）中山耕太郎，（日）武藤丸南著；陈明译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殖民地民族问题的基础知识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（日）中山耕太郎，（日）武藤丸南著；陈明译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本书出售、求购地址：https://www.jiaokey.com/book/detail/13662088.html</w:t>
      </w:r>
    </w:p>
    <w:p>
      <w:r>
        <w:t>更多相关图书推荐：https://www.jiaokey.com</w:t>
      </w:r>
    </w:p>
    <w:p>
      <w:r>
        <w:t>（日）中山耕太郎，（日）武藤丸南著；陈明译 其他作品：https://www.jiaokey.com/tag/（日）中山耕太郎，（日）武藤丸南著；陈明译.html</w:t>
      </w:r>
    </w:p>
    <w:p>
      <w:r>
        <w:t>一般书店 出版图书：https://www.jiaokey.com/tag/一般书店.html</w:t>
      </w:r>
    </w:p>
    <w:p>
      <w:r>
        <w:t>关键词搜索：https://www.jiaokey.com/tag/殖民地民族问题的基础知识.html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