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</w:t>
      </w:r>
    </w:p>
    <w:p>
      <w:r>
        <w:rPr>
          <w:rFonts w:ascii="宋体" w:hAnsi="宋体" w:eastAsia="宋体"/>
          <w:sz w:val="24"/>
        </w:rPr>
        <w:t>刘新平，余富忠，田建英主编；邵海泉，孙宏兵副主编；张军建参编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刘新平，余富忠，田建英主编；邵海泉，孙宏兵副主编；张军建参编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本书出售、求购地址：https://www.jiaokey.com/book/detail/13661365.html</w:t>
      </w:r>
    </w:p>
    <w:p>
      <w:r>
        <w:t>更多相关图书推荐：https://www.jiaokey.com</w:t>
      </w:r>
    </w:p>
    <w:p>
      <w:r>
        <w:t>刘新平，余富忠，田建英主编；邵海泉，孙宏兵副主编；张军建参编 其他作品：https://www.jiaokey.com/tag/刘新平，余富忠，田建英主编；邵海泉，孙宏兵副主编；张军建参编.html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关键词搜索：https://www.jiaokey.com/tag/汽车电气设备构造与维修.html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