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国际商法论丛  第13卷  （2014年下半年卷）</w:t>
      </w:r>
    </w:p>
    <w:p>
      <w:r>
        <w:rPr>
          <w:rFonts w:ascii="宋体" w:hAnsi="宋体" w:eastAsia="宋体"/>
          <w:sz w:val="24"/>
        </w:rPr>
        <w:t>中国国际经济贸易法学研究会主办；对外经济贸易大学法学院承办；沈四宝，王军主编；薛源执行主编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国际商法论丛  第13卷  （2014年下半年卷）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中国国际经济贸易法学研究会主办；对外经济贸易大学法学院承办；沈四宝，王军主编；薛源执行主编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本书出售、求购地址：https://www.jiaokey.com/book/detail/13661358.html</w:t>
      </w:r>
    </w:p>
    <w:p>
      <w:r>
        <w:t>更多相关图书推荐：https://www.jiaokey.com</w:t>
      </w:r>
    </w:p>
    <w:p>
      <w:r>
        <w:t>中国国际经济贸易法学研究会主办；对外经济贸易大学法学院承办；沈四宝，王军主编；薛源执行主编 其他作品：https://www.jiaokey.com/tag/中国国际经济贸易法学研究会主办；对外经济贸易大学法学院承办；沈四宝，王军主编；薛源执行主编.html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关键词搜索：https://www.jiaokey.com/tag/国际商法论丛  第13卷  （2014年下半年卷）.html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