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电子线路CAD</w:t>
      </w:r>
    </w:p>
    <w:p>
      <w:r>
        <w:rPr>
          <w:rFonts w:ascii="宋体" w:hAnsi="宋体" w:eastAsia="宋体"/>
          <w:sz w:val="24"/>
        </w:rPr>
        <w:t>董一冰，刘吉祥主编；毛松，余滔副主编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电子线路CAD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董一冰，刘吉祥主编；毛松，余滔副主编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本书出售、求购地址：https://www.jiaokey.com/book/detail/13660837.html</w:t>
      </w:r>
    </w:p>
    <w:p>
      <w:r>
        <w:t>更多相关图书推荐：https://www.jiaokey.com</w:t>
      </w:r>
    </w:p>
    <w:p>
      <w:r>
        <w:t>董一冰，刘吉祥主编；毛松，余滔副主编 其他作品：https://www.jiaokey.com/tag/董一冰，刘吉祥主编；毛松，余滔副主编.html</w:t>
      </w:r>
    </w:p>
    <w:p>
      <w:r>
        <w:t>北京：中国财富出版社 出版图书：https://www.jiaokey.com/tag/北京：中国财富出版社.html</w:t>
      </w:r>
    </w:p>
    <w:p>
      <w:r>
        <w:t>关键词搜索：https://www.jiaokey.com/tag/电子线路CAD.html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