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中</w:t>
      </w:r>
    </w:p>
    <w:p>
      <w:r>
        <w:rPr>
          <w:rFonts w:ascii="宋体" w:hAnsi="宋体" w:eastAsia="宋体"/>
          <w:sz w:val="24"/>
        </w:rPr>
        <w:t>施耐庵，罗贯中著；黎孟德导读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施耐庵，罗贯中著；黎孟德导读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本书出售、求购地址：https://www.jiaokey.com/book/detail/13660602.html</w:t>
      </w:r>
    </w:p>
    <w:p>
      <w:r>
        <w:t>更多相关图书推荐：https://www.jiaokey.com</w:t>
      </w:r>
    </w:p>
    <w:p>
      <w:r>
        <w:t>施耐庵，罗贯中著；黎孟德导读 其他作品：https://www.jiaokey.com/tag/施耐庵，罗贯中著；黎孟德导读.html</w:t>
      </w:r>
    </w:p>
    <w:p>
      <w:r>
        <w:t>成都：巴蜀书社 出版图书：https://www.jiaokey.com/tag/成都：巴蜀书社.html</w:t>
      </w:r>
    </w:p>
    <w:p>
      <w:r>
        <w:t>关键词搜索：https://www.jiaokey.com/tag/水浒传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