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外国宪法</w:t>
      </w:r>
    </w:p>
    <w:p>
      <w:r>
        <w:rPr>
          <w:rFonts w:ascii="宋体" w:hAnsi="宋体" w:eastAsia="宋体"/>
          <w:sz w:val="24"/>
        </w:rPr>
        <w:t>张震，刘泽刚主编；陈兴立，何永红，冉思东等撰稿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张震，刘泽刚主编；陈兴立，何永红，冉思东等撰稿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本书出售、求购地址：https://www.jiaokey.com/book/detail/13660271.html</w:t>
      </w:r>
    </w:p>
    <w:p>
      <w:r>
        <w:t>更多相关图书推荐：https://www.jiaokey.com</w:t>
      </w:r>
    </w:p>
    <w:p>
      <w:r>
        <w:t>张震，刘泽刚主编；陈兴立，何永红，冉思东等撰稿 其他作品：https://www.jiaokey.com/tag/张震，刘泽刚主编；陈兴立，何永红，冉思东等撰稿.html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