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中学生作文技巧例说</w:t>
      </w:r>
    </w:p>
    <w:p>
      <w:r>
        <w:rPr>
          <w:rFonts w:ascii="宋体" w:hAnsi="宋体" w:eastAsia="宋体"/>
          <w:sz w:val="24"/>
        </w:rPr>
        <w:t>林长福主编；解建忠，余平，林文峰副主编；鲍小凤，郭建，胡红等编委；孙启定，陈惠文主审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8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中学生作文技巧例说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林长福主编；解建忠，余平，林文峰副主编；鲍小凤，郭建，胡红等编委；孙启定，陈惠文主审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本书出售、求购地址：https://www.jiaokey.com/book/detail/13658001.html</w:t>
      </w:r>
    </w:p>
    <w:p>
      <w:r>
        <w:t>更多相关图书推荐：https://www.jiaokey.com</w:t>
      </w:r>
    </w:p>
    <w:p>
      <w:r>
        <w:t>林长福主编；解建忠，余平，林文峰副主编；鲍小凤，郭建，胡红等编委；孙启定，陈惠文主审 其他作品：https://www.jiaokey.com/tag/林长福主编；解建忠，余平，林文峰副主编；鲍小凤，郭建，胡红等编委；孙启定，陈惠文主审.html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