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民困愁城  忧郁症、情绪管理、现代性的黑暗面</w:t>
      </w:r>
    </w:p>
    <w:p>
      <w:r>
        <w:rPr>
          <w:rFonts w:ascii="宋体" w:hAnsi="宋体" w:eastAsia="宋体"/>
          <w:sz w:val="24"/>
        </w:rPr>
        <w:t>甯应斌，何春蕤著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民困愁城  忧郁症、情绪管理、现代性的黑暗面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甯应斌，何春蕤著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台湾社会研究杂志社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本书出售、求购地址：https://www.jiaokey.com/book/detail/13657631.html</w:t>
      </w:r>
    </w:p>
    <w:p>
      <w:r>
        <w:t>更多相关图书推荐：https://www.jiaokey.com</w:t>
      </w:r>
    </w:p>
    <w:p>
      <w:r>
        <w:t>甯应斌，何春蕤著 其他作品：https://www.jiaokey.com/tag/甯应斌，何春蕤著.html</w:t>
      </w:r>
    </w:p>
    <w:p>
      <w:r>
        <w:t>台湾社会研究杂志社 出版图书：https://www.jiaokey.com/tag/台湾社会研究杂志社.html</w:t>
      </w:r>
    </w:p>
    <w:p>
      <w:r>
        <w:t>关键词搜索：https://www.jiaokey.com/tag/民困愁城  忧郁症、情绪管理、现代性的黑暗面.html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