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最高人民法院关于执行程序中计算迟延履行期间的债务利息司法解释理解与适用</w:t>
      </w:r>
    </w:p>
    <w:p>
      <w:r>
        <w:rPr>
          <w:rFonts w:ascii="宋体" w:hAnsi="宋体" w:eastAsia="宋体"/>
          <w:sz w:val="24"/>
        </w:rPr>
        <w:t>江必新，刘贵祥主编；最高人民法院执行局编著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最高人民法院关于执行程序中计算迟延履行期间的债务利息司法解释理解与适用</w:t>
            </w:r>
          </w:p>
        </w:tc>
      </w:tr>
      <w:tr>
        <w:tc>
          <w:tcPr>
            <w:tcW w:type="dxa" w:w="4320"/>
          </w:tcPr>
          <w:p>
            <w:r>
              <w:t>作者</w:t>
            </w:r>
          </w:p>
        </w:tc>
        <w:tc>
          <w:tcPr>
            <w:tcW w:type="dxa" w:w="4320"/>
          </w:tcPr>
          <w:p>
            <w:r>
              <w:t>江必新，刘贵祥主编；最高人民法院执行局编著</w:t>
            </w:r>
          </w:p>
        </w:tc>
      </w:tr>
      <w:tr>
        <w:tc>
          <w:tcPr>
            <w:tcW w:type="dxa" w:w="4320"/>
          </w:tcPr>
          <w:p>
            <w:r>
              <w:t>出版社</w:t>
            </w:r>
          </w:p>
        </w:tc>
        <w:tc>
          <w:tcPr>
            <w:tcW w:type="dxa" w:w="4320"/>
          </w:tcPr>
          <w:p>
            <w:r>
              <w:t>北京：人民法院出版社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264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本书出售、求购地址：https://www.jiaokey.com/book/detail/13656857.html</w:t>
      </w:r>
    </w:p>
    <w:p>
      <w:r>
        <w:t>更多相关图书推荐：https://www.jiaokey.com</w:t>
      </w:r>
    </w:p>
    <w:p>
      <w:r>
        <w:t>江必新，刘贵祥主编；最高人民法院执行局编著 其他作品：https://www.jiaokey.com/tag/江必新，刘贵祥主编；最高人民法院执行局编著.html</w:t>
      </w:r>
    </w:p>
    <w:p>
      <w:r>
        <w:t>北京：人民法院出版社 出版图书：https://www.jiaokey.com/tag/北京：人民法院出版社.html</w:t>
      </w:r>
    </w:p>
    <w:p>
      <w:r>
        <w:t>关键词搜索：https://www.jiaokey.com/tag/最高人民法院关于执行程序中计算迟延履行期间的债务利息司法解释理解与适用.html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