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翩翩长鼓</w:t>
      </w:r>
    </w:p>
    <w:p>
      <w:r>
        <w:rPr>
          <w:rFonts w:ascii="宋体" w:hAnsi="宋体" w:eastAsia="宋体"/>
          <w:sz w:val="24"/>
        </w:rPr>
        <w:t>范秀炎，吴卫清编著；林雄主编；顾作义，朱仲南，杜佐祥等副主编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翩翩长鼓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范秀炎，吴卫清编著；林雄主编；顾作义，朱仲南，杜佐祥等副主编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本书出售、求购地址：https://www.jiaokey.com/book/detail/13655765.html</w:t>
      </w:r>
    </w:p>
    <w:p>
      <w:r>
        <w:t>更多相关图书推荐：https://www.jiaokey.com</w:t>
      </w:r>
    </w:p>
    <w:p>
      <w:r>
        <w:t>范秀炎，吴卫清编著；林雄主编；顾作义，朱仲南，杜佐祥等副主编 其他作品：https://www.jiaokey.com/tag/范秀炎，吴卫清编著；林雄主编；顾作义，朱仲南，杜佐祥等副主编.html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关键词搜索：https://www.jiaokey.com/tag/翩翩长鼓.html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