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财经法规与会计职业道德重点解析与经典试题</w:t>
      </w:r>
    </w:p>
    <w:p>
      <w:r>
        <w:rPr>
          <w:rFonts w:ascii="宋体" w:hAnsi="宋体" w:eastAsia="宋体"/>
          <w:sz w:val="24"/>
        </w:rPr>
        <w:t>孙一玲主编；严宝瑞，罗继军，臧振霞副主编；樊薇，王婧，王京朝，孙海鹄，李爱玲参编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财经法规与会计职业道德重点解析与经典试题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孙一玲主编；严宝瑞，罗继军，臧振霞副主编；樊薇，王婧，王京朝，孙海鹄，李爱玲参编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本书出售、求购地址：https://www.jiaokey.com/book/detail/13655188.html</w:t>
      </w:r>
    </w:p>
    <w:p>
      <w:r>
        <w:t>更多相关图书推荐：https://www.jiaokey.com</w:t>
      </w:r>
    </w:p>
    <w:p>
      <w:r>
        <w:t>孙一玲主编；严宝瑞，罗继军，臧振霞副主编；樊薇，王婧，王京朝，孙海鹄，李爱玲参编 其他作品：https://www.jiaokey.com/tag/孙一玲主编；严宝瑞，罗继军，臧振霞副主编；樊薇，王婧，王京朝，孙海鹄，李爱玲参编.html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关键词搜索：https://www.jiaokey.com/tag/财经法规与会计职业道德重点解析与经典试题.html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