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人民法院综合管理实务技能</w:t>
      </w:r>
    </w:p>
    <w:p>
      <w:r>
        <w:rPr>
          <w:rFonts w:ascii="宋体" w:hAnsi="宋体" w:eastAsia="宋体"/>
          <w:sz w:val="24"/>
        </w:rPr>
        <w:t>宋涛主编；张京，翁暨伟，陆永棣，姚海涛，唐学兵，魏新璋，饶文军，吴道富副主编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人民法院综合管理实务技能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宋涛主编；张京，翁暨伟，陆永棣，姚海涛，唐学兵，魏新璋，饶文军，吴道富副主编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本书出售、求购地址：https://www.jiaokey.com/book/detail/13653786.html</w:t>
      </w:r>
    </w:p>
    <w:p>
      <w:r>
        <w:t>更多相关图书推荐：https://www.jiaokey.com</w:t>
      </w:r>
    </w:p>
    <w:p>
      <w:r>
        <w:t>宋涛主编；张京，翁暨伟，陆永棣，姚海涛，唐学兵，魏新璋，饶文军，吴道富副主编 其他作品：https://www.jiaokey.com/tag/宋涛主编；张京，翁暨伟，陆永棣，姚海涛，唐学兵，魏新璋，饶文军，吴道富副主编.html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关键词搜索：https://www.jiaokey.com/tag/人民法院综合管理实务技能.html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