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临床免疫学检验技术实验指导</w:t>
      </w:r>
    </w:p>
    <w:p>
      <w:r>
        <w:rPr>
          <w:rFonts w:ascii="宋体" w:hAnsi="宋体" w:eastAsia="宋体"/>
          <w:sz w:val="24"/>
        </w:rPr>
        <w:t>夏圣，杨曙梅主编；何春燕，朱晓霞副主编；丁建霞，朱晓霞，刘霞等编；邵启祥，许文荣丛书主编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夏圣，杨曙梅主编；何春燕，朱晓霞副主编；丁建霞，朱晓霞，刘霞等编；邵启祥，许文荣丛书主编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本书出售、求购地址：https://www.jiaokey.com/book/detail/13653330.html</w:t>
      </w:r>
    </w:p>
    <w:p>
      <w:r>
        <w:t>更多相关图书推荐：https://www.jiaokey.com</w:t>
      </w:r>
    </w:p>
    <w:p>
      <w:r>
        <w:t>夏圣，杨曙梅主编；何春燕，朱晓霞副主编；丁建霞，朱晓霞，刘霞等编；邵启祥，许文荣丛书主编 其他作品：https://www.jiaokey.com/tag/夏圣，杨曙梅主编；何春燕，朱晓霞副主编；丁建霞，朱晓霞，刘霞等编；邵启祥，许文荣丛书主编.html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关键词搜索：https://www.jiaokey.com/tag/临床免疫学检验技术实验指导.html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