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</w:t>
      </w:r>
    </w:p>
    <w:p>
      <w:r>
        <w:rPr>
          <w:rFonts w:ascii="宋体" w:hAnsi="宋体" w:eastAsia="宋体"/>
          <w:sz w:val="24"/>
        </w:rPr>
        <w:t>蔡晓君主编；窦艳涛副主编；刘湘晨，刘淑晶，郭炜参编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蔡晓君主编；窦艳涛副主编；刘湘晨，刘淑晶，郭炜参编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本书出售、求购地址：https://www.jiaokey.com/book/detail/13652744.html</w:t>
      </w:r>
    </w:p>
    <w:p>
      <w:r>
        <w:t>更多相关图书推荐：https://www.jiaokey.com</w:t>
      </w:r>
    </w:p>
    <w:p>
      <w:r>
        <w:t>蔡晓君主编；窦艳涛副主编；刘湘晨，刘淑晶，郭炜参编 其他作品：https://www.jiaokey.com/tag/蔡晓君主编；窦艳涛副主编；刘湘晨，刘淑晶，郭炜参编.html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