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长江下游地区卷  Volume of the lower reaches of the Yangtze river</w:t>
      </w:r>
    </w:p>
    <w:p>
      <w:r>
        <w:rPr>
          <w:rFonts w:ascii="宋体" w:hAnsi="宋体" w:eastAsia="宋体"/>
          <w:sz w:val="24"/>
        </w:rPr>
        <w:t>赵荣光主编；季鸿崑，李维冰，马健鹰著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长江下游地区卷  Volume of the lower reaches of the Yangtze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赵荣光主编；季鸿崑，李维冰，马健鹰著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本书出售、求购地址：https://www.jiaokey.com/book/detail/13652727.html</w:t>
      </w:r>
    </w:p>
    <w:p>
      <w:r>
        <w:t>更多相关图书推荐：https://www.jiaokey.com</w:t>
      </w:r>
    </w:p>
    <w:p>
      <w:r>
        <w:t>赵荣光主编；季鸿崑，李维冰，马健鹰著 其他作品：https://www.jiaokey.com/tag/赵荣光主编；季鸿崑，李维冰，马健鹰著.html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关键词搜索：https://www.jiaokey.com/tag/中国饮食文化史  长江下游地区卷  Volume of the lower reaches of the Yangtze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