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非标准材料：当代建筑“非常规材料的运用”</w:t>
      </w:r>
    </w:p>
    <w:p>
      <w:r>
        <w:rPr>
          <w:rFonts w:ascii="宋体" w:hAnsi="宋体" w:eastAsia="宋体"/>
          <w:sz w:val="24"/>
        </w:rPr>
        <w:t>赵劲松丛书主编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非标准材料：当代建筑“非常规材料的运用”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赵劲松丛书主编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本书出售、求购地址：https://www.jiaokey.com/book/detail/13652379.html</w:t>
      </w:r>
    </w:p>
    <w:p>
      <w:r>
        <w:t>更多相关图书推荐：https://www.jiaokey.com</w:t>
      </w:r>
    </w:p>
    <w:p>
      <w:r>
        <w:t>赵劲松丛书主编 其他作品：https://www.jiaokey.com/tag/赵劲松丛书主编.html</w:t>
      </w:r>
    </w:p>
    <w:p>
      <w:r>
        <w:t>关键词搜索：https://www.jiaokey.com/tag/非标准材料：当代建筑“非常规材料的运用”.html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