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臺靜農书画</w:t>
      </w:r>
    </w:p>
    <w:p>
      <w:r>
        <w:rPr>
          <w:rFonts w:ascii="宋体" w:hAnsi="宋体" w:eastAsia="宋体"/>
          <w:sz w:val="24"/>
        </w:rPr>
        <w:t>杜三鑫执行编辑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臺靜農书画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杜三鑫执行编辑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何创时基金会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本书出售、求购地址：https://www.jiaokey.com/book/detail/13651432.html</w:t>
      </w:r>
    </w:p>
    <w:p>
      <w:r>
        <w:t>更多相关图书推荐：https://www.jiaokey.com</w:t>
      </w:r>
    </w:p>
    <w:p>
      <w:r>
        <w:t>杜三鑫执行编辑 其他作品：https://www.jiaokey.com/tag/杜三鑫执行编辑.html</w:t>
      </w:r>
    </w:p>
    <w:p>
      <w:r>
        <w:t>何创时基金会 出版图书：https://www.jiaokey.com/tag/何创时基金会.html</w:t>
      </w:r>
    </w:p>
    <w:p>
      <w:r>
        <w:t>关键词搜索：https://www.jiaokey.com/tag/臺靜農书画.html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