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查办侵犯公民权利犯罪案件实用指南</w:t>
      </w:r>
    </w:p>
    <w:p>
      <w:r>
        <w:rPr>
          <w:rFonts w:ascii="宋体" w:hAnsi="宋体" w:eastAsia="宋体"/>
          <w:sz w:val="24"/>
        </w:rPr>
        <w:t>付立忠编著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查办侵犯公民权利犯罪案件实用指南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付立忠编著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本书出售、求购地址：https://www.jiaokey.com/book/detail/13648051.html</w:t>
      </w:r>
    </w:p>
    <w:p>
      <w:r>
        <w:t>更多相关图书推荐：https://www.jiaokey.com</w:t>
      </w:r>
    </w:p>
    <w:p>
      <w:r>
        <w:t>付立忠编著 其他作品：https://www.jiaokey.com/tag/付立忠编著.html</w:t>
      </w:r>
    </w:p>
    <w:p>
      <w:r>
        <w:t>关键词搜索：https://www.jiaokey.com/tag/查办侵犯公民权利犯罪案件实用指南.html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