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社会主义的生产方式</w:t>
      </w:r>
    </w:p>
    <w:p>
      <w:r>
        <w:rPr>
          <w:rFonts w:ascii="宋体" w:hAnsi="宋体" w:eastAsia="宋体"/>
          <w:sz w:val="24"/>
        </w:rPr>
        <w:t>（苏）谢莫钦柯著；复旦大学政治经济学教研组译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（苏）谢莫钦柯著；复旦大学政治经济学教研组译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复旦大学政治经济学教研组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本书出售、求购地址：https://www.jiaokey.com/book/detail/13646935.html</w:t>
      </w:r>
    </w:p>
    <w:p>
      <w:r>
        <w:t>更多相关图书推荐：https://www.jiaokey.com</w:t>
      </w:r>
    </w:p>
    <w:p>
      <w:r>
        <w:t>（苏）谢莫钦柯著；复旦大学政治经济学教研组译 其他作品：https://www.jiaokey.com/tag/（苏）谢莫钦柯著；复旦大学政治经济学教研组译.html</w:t>
      </w:r>
    </w:p>
    <w:p>
      <w:r>
        <w:t>复旦大学政治经济学教研组 出版图书：https://www.jiaokey.com/tag/复旦大学政治经济学教研组.html</w:t>
      </w:r>
    </w:p>
    <w:p>
      <w:r>
        <w:t>关键词搜索：https://www.jiaokey.com/tag/社会主义的生产方式.html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