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近代国家的型塑  中华民国建国三百年国际学术讨论会论文集  下</w:t>
      </w:r>
    </w:p>
    <w:p>
      <w:r>
        <w:rPr>
          <w:rFonts w:ascii="宋体" w:hAnsi="宋体" w:eastAsia="宋体"/>
          <w:sz w:val="24"/>
        </w:rPr>
        <w:t>吴淑凤，薛月顺，张世瑛编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近代国家的型塑  中华民国建国三百年国际学术讨论会论文集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吴淑凤，薛月顺，张世瑛编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本书出售、求购地址：https://www.jiaokey.com/book/detail/13643355.html</w:t>
      </w:r>
    </w:p>
    <w:p>
      <w:r>
        <w:t>更多相关图书推荐：https://www.jiaokey.com</w:t>
      </w:r>
    </w:p>
    <w:p>
      <w:r>
        <w:t>吴淑凤，薛月顺，张世瑛编 其他作品：https://www.jiaokey.com/tag/吴淑凤，薛月顺，张世瑛编.html</w:t>
      </w:r>
    </w:p>
    <w:p>
      <w:r>
        <w:t>国史馆 出版图书：https://www.jiaokey.com/tag/国史馆.html</w:t>
      </w:r>
    </w:p>
    <w:p>
      <w:r>
        <w:t>关键词搜索：https://www.jiaokey.com/tag/近代国家的型塑  中华民国建国三百年国际学术讨论会论文集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