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新时期公安内勤写作与办文规范</w:t>
      </w:r>
    </w:p>
    <w:p>
      <w:r>
        <w:rPr>
          <w:rFonts w:ascii="宋体" w:hAnsi="宋体" w:eastAsia="宋体"/>
          <w:sz w:val="24"/>
        </w:rPr>
        <w:t>谷福生主编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新时期公安内勤写作与办文规范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本书出售、求购地址：https://www.jiaokey.com/book/detail/13641513.html</w:t>
      </w:r>
    </w:p>
    <w:p>
      <w:r>
        <w:t>更多相关图书推荐：https://www.jiaokey.com</w:t>
      </w:r>
    </w:p>
    <w:p>
      <w:r>
        <w:t>谷福生主编 其他作品：https://www.jiaokey.com/tag/谷福生主编.html</w:t>
      </w:r>
    </w:p>
    <w:p>
      <w:r>
        <w:t>关键词搜索：https://www.jiaokey.com/tag/新时期公安内勤写作与办文规范.html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