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国家金融业务与监管调控</w:t>
      </w:r>
    </w:p>
    <w:p>
      <w:r>
        <w:rPr>
          <w:rFonts w:ascii="宋体" w:hAnsi="宋体" w:eastAsia="宋体"/>
          <w:sz w:val="24"/>
        </w:rPr>
        <w:t>杨华主编；李建国，冯会波，李力，温景林，崔树岭，蒋玉奎，刘国旗，张建新，刘华中，董国栋，刘柏华等副主编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国家金融业务与监管调控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杨华主编；李建国，冯会波，李力，温景林，崔树岭，蒋玉奎，刘国旗，张建新，刘华中，董国栋，刘柏华等副主编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本书出售、求购地址：https://www.jiaokey.com/book/detail/13641099.html</w:t>
      </w:r>
    </w:p>
    <w:p>
      <w:r>
        <w:t>更多相关图书推荐：https://www.jiaokey.com</w:t>
      </w:r>
    </w:p>
    <w:p>
      <w:r>
        <w:t>杨华主编；李建国，冯会波，李力，温景林，崔树岭，蒋玉奎，刘国旗，张建新，刘华中，董国栋，刘柏华等副主编 其他作品：https://www.jiaokey.com/tag/杨华主编；李建国，冯会波，李力，温景林，崔树岭，蒋玉奎，刘国旗，张建新，刘华中，董国栋，刘柏华等副主编.html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关键词搜索：https://www.jiaokey.com/tag/国家金融业务与监管调控.html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